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1AF4" w14:textId="77777777" w:rsidR="00D6165E" w:rsidRDefault="00D6165E" w:rsidP="00D6165E">
      <w:pPr>
        <w:jc w:val="center"/>
      </w:pPr>
      <w:r>
        <w:t>AUTOPOPRAWKA  z dnia 27-03-2025 r.</w:t>
      </w:r>
    </w:p>
    <w:p w14:paraId="3DF8C421" w14:textId="77777777" w:rsidR="00D6165E" w:rsidRPr="00CC1522" w:rsidRDefault="00D6165E" w:rsidP="00D6165E">
      <w:pPr>
        <w:jc w:val="center"/>
        <w:rPr>
          <w:rFonts w:ascii="Times New Roman" w:hAnsi="Times New Roman" w:cs="Times New Roman"/>
          <w:b/>
          <w:bCs/>
        </w:rPr>
      </w:pPr>
      <w:r w:rsidRPr="00CC1522">
        <w:rPr>
          <w:rFonts w:ascii="Times New Roman" w:hAnsi="Times New Roman" w:cs="Times New Roman"/>
          <w:b/>
          <w:bCs/>
        </w:rPr>
        <w:t xml:space="preserve">Do projektu zmiany </w:t>
      </w:r>
      <w:r>
        <w:rPr>
          <w:rFonts w:ascii="Times New Roman" w:hAnsi="Times New Roman" w:cs="Times New Roman"/>
          <w:b/>
          <w:bCs/>
        </w:rPr>
        <w:t>W</w:t>
      </w:r>
      <w:r w:rsidRPr="00CC1522">
        <w:rPr>
          <w:rFonts w:ascii="Times New Roman" w:hAnsi="Times New Roman" w:cs="Times New Roman"/>
          <w:b/>
          <w:bCs/>
        </w:rPr>
        <w:t xml:space="preserve">ieloletniej </w:t>
      </w:r>
      <w:r>
        <w:rPr>
          <w:rFonts w:ascii="Times New Roman" w:hAnsi="Times New Roman" w:cs="Times New Roman"/>
          <w:b/>
          <w:bCs/>
        </w:rPr>
        <w:t>P</w:t>
      </w:r>
      <w:r w:rsidRPr="00CC1522">
        <w:rPr>
          <w:rFonts w:ascii="Times New Roman" w:hAnsi="Times New Roman" w:cs="Times New Roman"/>
          <w:b/>
          <w:bCs/>
        </w:rPr>
        <w:t xml:space="preserve">rognozy </w:t>
      </w:r>
      <w:r>
        <w:rPr>
          <w:rFonts w:ascii="Times New Roman" w:hAnsi="Times New Roman" w:cs="Times New Roman"/>
          <w:b/>
          <w:bCs/>
        </w:rPr>
        <w:t>F</w:t>
      </w:r>
      <w:r w:rsidRPr="00CC1522">
        <w:rPr>
          <w:rFonts w:ascii="Times New Roman" w:hAnsi="Times New Roman" w:cs="Times New Roman"/>
          <w:b/>
          <w:bCs/>
        </w:rPr>
        <w:t xml:space="preserve">inansowej </w:t>
      </w:r>
      <w:r>
        <w:rPr>
          <w:rFonts w:ascii="Times New Roman" w:hAnsi="Times New Roman" w:cs="Times New Roman"/>
          <w:b/>
          <w:bCs/>
        </w:rPr>
        <w:t>G</w:t>
      </w:r>
      <w:r w:rsidRPr="00CC1522">
        <w:rPr>
          <w:rFonts w:ascii="Times New Roman" w:hAnsi="Times New Roman" w:cs="Times New Roman"/>
          <w:b/>
          <w:bCs/>
        </w:rPr>
        <w:t xml:space="preserve">miny i </w:t>
      </w:r>
      <w:r>
        <w:rPr>
          <w:rFonts w:ascii="Times New Roman" w:hAnsi="Times New Roman" w:cs="Times New Roman"/>
          <w:b/>
          <w:bCs/>
        </w:rPr>
        <w:t>M</w:t>
      </w:r>
      <w:r w:rsidRPr="00CC1522">
        <w:rPr>
          <w:rFonts w:ascii="Times New Roman" w:hAnsi="Times New Roman" w:cs="Times New Roman"/>
          <w:b/>
          <w:bCs/>
        </w:rPr>
        <w:t xml:space="preserve">iasta </w:t>
      </w:r>
      <w:r>
        <w:rPr>
          <w:rFonts w:ascii="Times New Roman" w:hAnsi="Times New Roman" w:cs="Times New Roman"/>
          <w:b/>
          <w:bCs/>
        </w:rPr>
        <w:t>R</w:t>
      </w:r>
      <w:r w:rsidRPr="00CC1522">
        <w:rPr>
          <w:rFonts w:ascii="Times New Roman" w:hAnsi="Times New Roman" w:cs="Times New Roman"/>
          <w:b/>
          <w:bCs/>
        </w:rPr>
        <w:t>aszków przyjętej na lata 2025-2042</w:t>
      </w:r>
    </w:p>
    <w:p w14:paraId="0B890D65" w14:textId="77777777" w:rsidR="00D6165E" w:rsidRDefault="00D6165E" w:rsidP="00D6165E">
      <w:r w:rsidRPr="00CC1522">
        <w:t>Zgodnie ze zmianami w budżecie proponowanych w autopoprawce dokonano następujących zmian w Wieloletniej Prognozie Finansowej Gminy i Miasta Raszków:</w:t>
      </w:r>
    </w:p>
    <w:p w14:paraId="23D38248" w14:textId="77777777" w:rsidR="00D6165E" w:rsidRDefault="00D6165E" w:rsidP="00D6165E">
      <w:r>
        <w:t>W zakresie wydatków zmiana w załączniku 1 dotyczącym pozycji wydatku majątkowego o charakterze dotacyjnym:</w:t>
      </w:r>
    </w:p>
    <w:p w14:paraId="0439CC8A" w14:textId="77777777" w:rsidR="00D6165E" w:rsidRDefault="00D6165E" w:rsidP="00D6165E">
      <w:r>
        <w:t xml:space="preserve">Poz. 2.2.1.1   było  996.126,- zł </w:t>
      </w:r>
    </w:p>
    <w:p w14:paraId="38688F71" w14:textId="77777777" w:rsidR="00D6165E" w:rsidRPr="00CC1522" w:rsidRDefault="00D6165E" w:rsidP="00D6165E">
      <w:r>
        <w:t>Poz. 2.2.1.1  winno być 1.131.120,- zł</w:t>
      </w:r>
    </w:p>
    <w:p w14:paraId="1E53BC91" w14:textId="77777777" w:rsidR="00D6165E" w:rsidRPr="00CC1522" w:rsidRDefault="00D6165E" w:rsidP="00D6165E">
      <w:pPr>
        <w:jc w:val="both"/>
      </w:pPr>
      <w:r w:rsidRPr="00CC1522">
        <w:t>W zakresie przychodów</w:t>
      </w:r>
      <w:r>
        <w:t xml:space="preserve"> dla pozycji nadwyżka budżetowa z lat ubiegłych zmniejszenie o 0,29 zł, wolne środki zwiększenie o 0,29 zł. Poniższa tabela otrzymuje brzmienie:</w:t>
      </w:r>
    </w:p>
    <w:p w14:paraId="0D75CA57" w14:textId="77777777" w:rsidR="00D6165E" w:rsidRPr="00CC1522" w:rsidRDefault="00D6165E" w:rsidP="00D6165E">
      <w:pPr>
        <w:rPr>
          <w:b/>
        </w:rPr>
      </w:pPr>
      <w:r>
        <w:rPr>
          <w:b/>
        </w:rPr>
        <w:t>Z</w:t>
      </w:r>
      <w:r w:rsidRPr="00CC1522">
        <w:rPr>
          <w:b/>
        </w:rPr>
        <w:t>miany w przychodach i rozchodach na 2025 rok.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6165E" w:rsidRPr="00CC1522" w14:paraId="3A1EE3CC" w14:textId="77777777" w:rsidTr="005B4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AE01FE7" w14:textId="77777777" w:rsidR="00D6165E" w:rsidRPr="00CC1522" w:rsidRDefault="00D6165E" w:rsidP="005B4843">
            <w:pPr>
              <w:rPr>
                <w:b/>
              </w:rPr>
            </w:pPr>
            <w:r w:rsidRPr="00CC1522">
              <w:rPr>
                <w:b/>
              </w:rP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34D8E2" w14:textId="77777777" w:rsidR="00D6165E" w:rsidRPr="00CC1522" w:rsidRDefault="00D6165E" w:rsidP="005B4843">
            <w:pPr>
              <w:rPr>
                <w:b/>
              </w:rPr>
            </w:pPr>
            <w:r w:rsidRPr="00CC1522">
              <w:rPr>
                <w:b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71023D" w14:textId="77777777" w:rsidR="00D6165E" w:rsidRPr="00CC1522" w:rsidRDefault="00D6165E" w:rsidP="005B4843">
            <w:pPr>
              <w:rPr>
                <w:b/>
              </w:rPr>
            </w:pPr>
            <w:r w:rsidRPr="00CC1522">
              <w:rPr>
                <w:b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36F911E" w14:textId="77777777" w:rsidR="00D6165E" w:rsidRPr="00CC1522" w:rsidRDefault="00D6165E" w:rsidP="005B4843">
            <w:pPr>
              <w:rPr>
                <w:b/>
              </w:rPr>
            </w:pPr>
            <w:r w:rsidRPr="00CC1522">
              <w:rPr>
                <w:b/>
              </w:rPr>
              <w:t>Po zmianie [zł]</w:t>
            </w:r>
          </w:p>
        </w:tc>
      </w:tr>
      <w:tr w:rsidR="00D6165E" w:rsidRPr="00CC1522" w14:paraId="3ACCAC83" w14:textId="77777777" w:rsidTr="005B4843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E15CFEB" w14:textId="77777777" w:rsidR="00D6165E" w:rsidRPr="00CC1522" w:rsidRDefault="00D6165E" w:rsidP="005B4843">
            <w:pPr>
              <w:rPr>
                <w:b/>
              </w:rPr>
            </w:pPr>
            <w:r w:rsidRPr="00CC1522">
              <w:rPr>
                <w:b/>
              </w:rPr>
              <w:t>Przychody budżetu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5D636CD" w14:textId="77777777" w:rsidR="00D6165E" w:rsidRPr="00CC1522" w:rsidRDefault="00D6165E" w:rsidP="005B4843">
            <w:pPr>
              <w:rPr>
                <w:b/>
              </w:rPr>
            </w:pPr>
            <w:r w:rsidRPr="00CC1522">
              <w:rPr>
                <w:b/>
              </w:rPr>
              <w:t>10 236 000,00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01146F" w14:textId="77777777" w:rsidR="00D6165E" w:rsidRPr="00CC1522" w:rsidRDefault="00D6165E" w:rsidP="005B4843">
            <w:pPr>
              <w:rPr>
                <w:b/>
              </w:rPr>
            </w:pPr>
            <w:r w:rsidRPr="00CC1522">
              <w:rPr>
                <w:b/>
              </w:rPr>
              <w:t>+310 137,61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279EED9" w14:textId="77777777" w:rsidR="00D6165E" w:rsidRPr="00CC1522" w:rsidRDefault="00D6165E" w:rsidP="005B4843">
            <w:pPr>
              <w:rPr>
                <w:b/>
              </w:rPr>
            </w:pPr>
            <w:r w:rsidRPr="00CC1522">
              <w:rPr>
                <w:b/>
              </w:rPr>
              <w:t>10 546 137,61</w:t>
            </w:r>
          </w:p>
        </w:tc>
      </w:tr>
      <w:tr w:rsidR="00D6165E" w:rsidRPr="00CC1522" w14:paraId="5BF71276" w14:textId="77777777" w:rsidTr="005B4843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902E179" w14:textId="77777777" w:rsidR="00D6165E" w:rsidRPr="00CC1522" w:rsidRDefault="00D6165E" w:rsidP="005B4843">
            <w:pPr>
              <w:rPr>
                <w:b/>
              </w:rPr>
            </w:pPr>
            <w:r w:rsidRPr="00CC1522">
              <w:rPr>
                <w:b/>
              </w:rPr>
              <w:t>Nadwyżka budżetowa z lat ubiegłych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E90CE86" w14:textId="77777777" w:rsidR="00D6165E" w:rsidRPr="00CC1522" w:rsidRDefault="00D6165E" w:rsidP="005B4843">
            <w:pPr>
              <w:rPr>
                <w:b/>
              </w:rPr>
            </w:pPr>
            <w:r w:rsidRPr="00CC1522">
              <w:rPr>
                <w:b/>
              </w:rPr>
              <w:t>532 040,29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44FD646" w14:textId="77777777" w:rsidR="00D6165E" w:rsidRPr="00CC1522" w:rsidRDefault="00D6165E" w:rsidP="005B4843">
            <w:pPr>
              <w:rPr>
                <w:b/>
              </w:rPr>
            </w:pPr>
            <w:r w:rsidRPr="00CC1522">
              <w:rPr>
                <w:b/>
              </w:rPr>
              <w:t>+310 137,32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5DC3557" w14:textId="77777777" w:rsidR="00D6165E" w:rsidRPr="00CC1522" w:rsidRDefault="00D6165E" w:rsidP="005B4843">
            <w:pPr>
              <w:rPr>
                <w:b/>
              </w:rPr>
            </w:pPr>
            <w:r w:rsidRPr="00CC1522">
              <w:rPr>
                <w:b/>
              </w:rPr>
              <w:t>842 177,61</w:t>
            </w:r>
          </w:p>
        </w:tc>
      </w:tr>
      <w:tr w:rsidR="00D6165E" w:rsidRPr="00CC1522" w14:paraId="5789B0FF" w14:textId="77777777" w:rsidTr="005B4843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08C1A20" w14:textId="77777777" w:rsidR="00D6165E" w:rsidRPr="00CC1522" w:rsidRDefault="00D6165E" w:rsidP="005B4843">
            <w:pPr>
              <w:rPr>
                <w:b/>
              </w:rPr>
            </w:pPr>
            <w:r w:rsidRPr="00CC1522">
              <w:rPr>
                <w:b/>
              </w:rPr>
              <w:t>Wolne środki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9D30EA0" w14:textId="77777777" w:rsidR="00D6165E" w:rsidRPr="00CC1522" w:rsidRDefault="00D6165E" w:rsidP="005B4843">
            <w:pPr>
              <w:rPr>
                <w:b/>
              </w:rPr>
            </w:pPr>
            <w:r w:rsidRPr="00CC1522">
              <w:rPr>
                <w:b/>
              </w:rPr>
              <w:t>2 203 959,71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0E4D12B" w14:textId="77777777" w:rsidR="00D6165E" w:rsidRPr="00CC1522" w:rsidRDefault="00D6165E" w:rsidP="005B4843">
            <w:pPr>
              <w:rPr>
                <w:b/>
              </w:rPr>
            </w:pPr>
            <w:r w:rsidRPr="00CC1522">
              <w:rPr>
                <w:b/>
              </w:rPr>
              <w:t>+0,29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390535" w14:textId="77777777" w:rsidR="00D6165E" w:rsidRPr="00CC1522" w:rsidRDefault="00D6165E" w:rsidP="005B4843">
            <w:pPr>
              <w:rPr>
                <w:b/>
              </w:rPr>
            </w:pPr>
            <w:r w:rsidRPr="00CC1522">
              <w:rPr>
                <w:b/>
              </w:rPr>
              <w:t>2 203 960,00</w:t>
            </w:r>
          </w:p>
        </w:tc>
      </w:tr>
    </w:tbl>
    <w:p w14:paraId="58581DC6" w14:textId="77777777" w:rsidR="00D6165E" w:rsidRDefault="00D6165E" w:rsidP="00D6165E">
      <w:r>
        <w:t>Opis w objaśnieniach w zakresie finansowania  planowanego deficytu otrzymuje brzmienie:</w:t>
      </w:r>
    </w:p>
    <w:p w14:paraId="36097085" w14:textId="77777777" w:rsidR="00C52C61" w:rsidRDefault="00C52C61" w:rsidP="00C52C61">
      <w:bookmarkStart w:id="0" w:name="_Hlk194010904"/>
      <w:r>
        <w:t>„</w:t>
      </w:r>
      <w:r w:rsidRPr="00064BAC">
        <w:t xml:space="preserve">Planowany </w:t>
      </w:r>
      <w:r w:rsidRPr="00064BAC">
        <w:rPr>
          <w:u w:val="single"/>
        </w:rPr>
        <w:t xml:space="preserve">wynik budżetu deficytowy w kwocie 8.841.137,61 zł  </w:t>
      </w:r>
      <w:r w:rsidRPr="00064BAC">
        <w:t>zostanie sfinansowany:</w:t>
      </w:r>
    </w:p>
    <w:p w14:paraId="232E6128" w14:textId="66C6F0D0" w:rsidR="00C52C61" w:rsidRDefault="00C52C61" w:rsidP="00D105F6">
      <w:pPr>
        <w:spacing w:before="120" w:after="120"/>
        <w:ind w:left="340" w:hanging="227"/>
        <w:jc w:val="both"/>
      </w:pPr>
      <w:r w:rsidRPr="00064BAC">
        <w:t xml:space="preserve">- nadwyżką budżetowa z lat ubiegłych - przychody jednostek samorządu terytorialnego  </w:t>
      </w:r>
      <w:r w:rsidR="00D105F6" w:rsidRPr="007150F7">
        <w:rPr>
          <w:color w:val="000000"/>
          <w:u w:color="000000"/>
        </w:rPr>
        <w:t xml:space="preserve">z niewykorzystanych środków pieniężnych na rachunku bieżącym budżetu, wynikających z rozliczenia dochodów i wydatków nimi finansowanych związanych ze szczególnymi zasadami wykonywania budżetu określonymi w odrębnych ustawach </w:t>
      </w:r>
      <w:r w:rsidR="00D105F6">
        <w:rPr>
          <w:color w:val="000000"/>
          <w:u w:color="000000"/>
        </w:rPr>
        <w:t xml:space="preserve">oraz </w:t>
      </w:r>
      <w:r w:rsidRPr="00064BAC">
        <w:t>wynikające z rozliczenia środków określonych w art. 5 ust. 1 pkt 2 ustawy i dotacji na realizację programu, projektu lub zadania finansowanego z udziałem tych środków w kwocie 842.177,</w:t>
      </w:r>
      <w:r>
        <w:t>61</w:t>
      </w:r>
      <w:r w:rsidRPr="00064BAC">
        <w:t xml:space="preserve"> zł;</w:t>
      </w:r>
      <w:r>
        <w:t xml:space="preserve"> w tym niewykorzystane środki na:</w:t>
      </w:r>
    </w:p>
    <w:p w14:paraId="4551EFE8" w14:textId="77777777" w:rsidR="00C52C61" w:rsidRDefault="00C52C61" w:rsidP="00C52C61">
      <w:pPr>
        <w:pStyle w:val="Akapitzlist"/>
        <w:numPr>
          <w:ilvl w:val="0"/>
          <w:numId w:val="1"/>
        </w:numPr>
        <w:jc w:val="both"/>
      </w:pPr>
      <w:r>
        <w:t>Niewykorzystane środki na realizację zadań z zakresu przeciwdziałania alkoholizmowi i zwalczania narkomanii § 905</w:t>
      </w:r>
      <w:r>
        <w:tab/>
      </w:r>
      <w:r>
        <w:tab/>
      </w:r>
      <w:r>
        <w:tab/>
      </w:r>
      <w:r>
        <w:tab/>
      </w:r>
      <w:r>
        <w:tab/>
      </w:r>
      <w:r>
        <w:tab/>
        <w:t>92.891,82 zł</w:t>
      </w:r>
      <w:r>
        <w:tab/>
      </w:r>
    </w:p>
    <w:p w14:paraId="736D6FD8" w14:textId="77777777" w:rsidR="00C52C61" w:rsidRDefault="00C52C61" w:rsidP="00C52C61">
      <w:pPr>
        <w:pStyle w:val="Akapitzlist"/>
        <w:numPr>
          <w:ilvl w:val="0"/>
          <w:numId w:val="1"/>
        </w:numPr>
        <w:jc w:val="both"/>
      </w:pPr>
      <w:r>
        <w:t xml:space="preserve">Środki z opłat i kar za korzystanie ze środowiska </w:t>
      </w:r>
      <w:r>
        <w:rPr>
          <w:rFonts w:ascii="Segoe UI Symbol" w:hAnsi="Segoe UI Symbol"/>
        </w:rPr>
        <w:t>§ 905</w:t>
      </w:r>
      <w:r>
        <w:tab/>
      </w:r>
      <w:r>
        <w:tab/>
        <w:t xml:space="preserve">      </w:t>
      </w:r>
      <w:r>
        <w:tab/>
        <w:t xml:space="preserve">      955,50 zł</w:t>
      </w:r>
    </w:p>
    <w:p w14:paraId="4868A622" w14:textId="77777777" w:rsidR="00C52C61" w:rsidRPr="00CC1522" w:rsidRDefault="00C52C61" w:rsidP="00C52C6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1522">
        <w:rPr>
          <w:b/>
          <w:bCs/>
        </w:rPr>
        <w:t>Program współfinansowany ze środków UE - „</w:t>
      </w:r>
      <w:proofErr w:type="spellStart"/>
      <w:r w:rsidRPr="00CC1522">
        <w:rPr>
          <w:b/>
          <w:bCs/>
        </w:rPr>
        <w:t>Cyberbezpieczny</w:t>
      </w:r>
      <w:proofErr w:type="spellEnd"/>
      <w:r w:rsidRPr="00CC1522">
        <w:rPr>
          <w:b/>
          <w:bCs/>
        </w:rPr>
        <w:t xml:space="preserve"> Samorząd"  </w:t>
      </w:r>
    </w:p>
    <w:p w14:paraId="71BA3925" w14:textId="77777777" w:rsidR="00C52C61" w:rsidRPr="00CC1522" w:rsidRDefault="00C52C61" w:rsidP="00C52C61">
      <w:pPr>
        <w:pStyle w:val="Akapitzlist"/>
        <w:ind w:left="2148"/>
        <w:jc w:val="both"/>
        <w:rPr>
          <w:b/>
          <w:bCs/>
        </w:rPr>
      </w:pPr>
      <w:r w:rsidRPr="00CC1522">
        <w:rPr>
          <w:b/>
          <w:bCs/>
        </w:rPr>
        <w:t xml:space="preserve">§ 906 zwiększenie do kwoty </w:t>
      </w:r>
      <w:r w:rsidRPr="00CC152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C1522">
        <w:rPr>
          <w:b/>
          <w:bCs/>
        </w:rPr>
        <w:tab/>
      </w:r>
      <w:r w:rsidRPr="00CC1522">
        <w:rPr>
          <w:b/>
          <w:bCs/>
        </w:rPr>
        <w:tab/>
        <w:t>729.487,29 zł</w:t>
      </w:r>
    </w:p>
    <w:p w14:paraId="102F35A2" w14:textId="77777777" w:rsidR="00C52C61" w:rsidRPr="006A7C0E" w:rsidRDefault="00C52C61" w:rsidP="00C52C61">
      <w:pPr>
        <w:pStyle w:val="Akapitzlist"/>
        <w:numPr>
          <w:ilvl w:val="0"/>
          <w:numId w:val="1"/>
        </w:numPr>
        <w:jc w:val="both"/>
      </w:pPr>
      <w:r>
        <w:t xml:space="preserve">Program współfinansowany ze środków UE- „Stawiamy na rozwój” </w:t>
      </w:r>
      <w:r>
        <w:rPr>
          <w:rFonts w:ascii="Segoe UI Symbol" w:hAnsi="Segoe UI Symbol"/>
        </w:rPr>
        <w:t xml:space="preserve">§ 906  </w:t>
      </w:r>
    </w:p>
    <w:p w14:paraId="7E293E9F" w14:textId="77777777" w:rsidR="00C52C61" w:rsidRDefault="00C52C61" w:rsidP="00C52C61">
      <w:pPr>
        <w:pStyle w:val="Akapitzlist"/>
        <w:ind w:left="7092" w:firstLine="696"/>
        <w:jc w:val="both"/>
      </w:pPr>
      <w:r>
        <w:rPr>
          <w:rFonts w:ascii="Segoe UI Symbol" w:hAnsi="Segoe UI Symbol"/>
        </w:rPr>
        <w:t>18.843,00 z</w:t>
      </w:r>
      <w:r>
        <w:rPr>
          <w:rFonts w:ascii="Calibri" w:hAnsi="Calibri" w:cs="Calibri"/>
        </w:rPr>
        <w:t xml:space="preserve">ł </w:t>
      </w:r>
    </w:p>
    <w:p w14:paraId="0F545180" w14:textId="77777777" w:rsidR="00C52C61" w:rsidRPr="00CC1522" w:rsidRDefault="00C52C61" w:rsidP="00C52C61">
      <w:pPr>
        <w:jc w:val="both"/>
        <w:rPr>
          <w:b/>
          <w:bCs/>
        </w:rPr>
      </w:pPr>
      <w:r w:rsidRPr="00CC1522">
        <w:rPr>
          <w:b/>
          <w:bCs/>
        </w:rPr>
        <w:t>- wolnymi środkami, o których mowa w art. 217 ust.2 pkt 6 ustawy w kwocie 2.193.960,00 zł;</w:t>
      </w:r>
    </w:p>
    <w:p w14:paraId="30C7592B" w14:textId="77777777" w:rsidR="00C52C61" w:rsidRPr="00064BAC" w:rsidRDefault="00C52C61" w:rsidP="00C52C61">
      <w:pPr>
        <w:jc w:val="both"/>
      </w:pPr>
      <w:r w:rsidRPr="00064BAC">
        <w:t>- przychodami z planowanych do zaciągnięcia kredytów na rynku krajowy</w:t>
      </w:r>
      <w:r>
        <w:t>m</w:t>
      </w:r>
      <w:r w:rsidRPr="00064BAC">
        <w:t>.</w:t>
      </w:r>
      <w:r>
        <w:t>”</w:t>
      </w:r>
    </w:p>
    <w:p w14:paraId="24711FA2" w14:textId="77777777" w:rsidR="00D105F6" w:rsidRDefault="00D105F6" w:rsidP="00C52C61">
      <w:pPr>
        <w:jc w:val="both"/>
      </w:pPr>
    </w:p>
    <w:p w14:paraId="7D98A855" w14:textId="5499F223" w:rsidR="00797FBE" w:rsidRPr="00797FBE" w:rsidRDefault="00797FBE" w:rsidP="00797FBE">
      <w:pPr>
        <w:jc w:val="both"/>
      </w:pPr>
      <w:r w:rsidRPr="00797FBE">
        <w:t>Ponad</w:t>
      </w:r>
      <w:r>
        <w:t xml:space="preserve"> </w:t>
      </w:r>
      <w:r w:rsidRPr="00797FBE">
        <w:t>to zmiana dotyczy urealnienia kwoty kredytu w roku 2024 poprzez zmianę z planowanego 7.500.000,- zł na faktycznie wykonany 6.000.000,- zł. Zmiana ta ma wpływ na wysokość kwoty długu wykazane w poz. 6 załącznika 1 w kolejnych latach prognozy,   jakie uległy zmniejszeniu o 1.500.000,- zł w każdym kolejnym roku. Stan zadłużenia na dzień 31.12.2024 wynosi 21.955.000,- zł.</w:t>
      </w:r>
    </w:p>
    <w:p w14:paraId="03BA1C81" w14:textId="49B85160" w:rsidR="00C52C61" w:rsidRDefault="00C52C61" w:rsidP="00C52C61">
      <w:pPr>
        <w:jc w:val="both"/>
      </w:pPr>
      <w:r>
        <w:t>Automatycznie zgodnie z harmonogramem zmniejszają się kwoty rozchodów w latach 2033-2035 wg poniższego:</w:t>
      </w:r>
    </w:p>
    <w:p w14:paraId="24425763" w14:textId="77777777" w:rsidR="00C52C61" w:rsidRPr="00C52C61" w:rsidRDefault="00C52C61" w:rsidP="00C52C61">
      <w:pPr>
        <w:jc w:val="both"/>
        <w:rPr>
          <w:bCs/>
        </w:rPr>
      </w:pPr>
      <w:r w:rsidRPr="00C52C61">
        <w:rPr>
          <w:b/>
        </w:rPr>
        <w:t>Zmiany w rozchodach zwrotnych w okresie prognozy WPF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52C61" w:rsidRPr="00C52C61" w14:paraId="566DDB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1F2797" w14:textId="77777777" w:rsidR="00C52C61" w:rsidRPr="00C52C61" w:rsidRDefault="00C52C61" w:rsidP="00C52C61">
            <w:pPr>
              <w:jc w:val="both"/>
              <w:rPr>
                <w:b/>
              </w:rPr>
            </w:pPr>
            <w:r w:rsidRPr="00C52C61">
              <w:rPr>
                <w:b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63E8F4A" w14:textId="77777777" w:rsidR="00C52C61" w:rsidRPr="00C52C61" w:rsidRDefault="00C52C61" w:rsidP="00C52C61">
            <w:pPr>
              <w:jc w:val="both"/>
              <w:rPr>
                <w:b/>
              </w:rPr>
            </w:pPr>
            <w:r w:rsidRPr="00C52C61">
              <w:rPr>
                <w:b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90BF602" w14:textId="77777777" w:rsidR="00C52C61" w:rsidRPr="00C52C61" w:rsidRDefault="00C52C61" w:rsidP="00C52C61">
            <w:pPr>
              <w:jc w:val="both"/>
              <w:rPr>
                <w:b/>
              </w:rPr>
            </w:pPr>
            <w:r w:rsidRPr="00C52C61">
              <w:rPr>
                <w:b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AE96253" w14:textId="77777777" w:rsidR="00C52C61" w:rsidRPr="00C52C61" w:rsidRDefault="00C52C61" w:rsidP="00C52C61">
            <w:pPr>
              <w:jc w:val="both"/>
              <w:rPr>
                <w:b/>
              </w:rPr>
            </w:pPr>
            <w:r w:rsidRPr="00C52C61">
              <w:rPr>
                <w:b/>
              </w:rPr>
              <w:t>Po zmianie [zł]</w:t>
            </w:r>
          </w:p>
        </w:tc>
      </w:tr>
      <w:tr w:rsidR="00C52C61" w:rsidRPr="00C52C61" w14:paraId="4BA0C3D2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F88A7B0" w14:textId="77777777" w:rsidR="00C52C61" w:rsidRPr="00C52C61" w:rsidRDefault="00C52C61" w:rsidP="00C52C61">
            <w:pPr>
              <w:jc w:val="both"/>
            </w:pPr>
            <w:r w:rsidRPr="00C52C61">
              <w:t>2033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895EDC5" w14:textId="77777777" w:rsidR="00C52C61" w:rsidRPr="00C52C61" w:rsidRDefault="00C52C61" w:rsidP="00C52C61">
            <w:pPr>
              <w:jc w:val="both"/>
            </w:pPr>
            <w:r w:rsidRPr="00C52C61">
              <w:t>2 550 000,00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ACF6872" w14:textId="77777777" w:rsidR="00C52C61" w:rsidRPr="00C52C61" w:rsidRDefault="00C52C61" w:rsidP="00C52C61">
            <w:pPr>
              <w:jc w:val="both"/>
            </w:pPr>
            <w:r w:rsidRPr="00C52C61">
              <w:t>-400 000,00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1E6BB00" w14:textId="77777777" w:rsidR="00C52C61" w:rsidRPr="00C52C61" w:rsidRDefault="00C52C61" w:rsidP="00C52C61">
            <w:pPr>
              <w:jc w:val="both"/>
            </w:pPr>
            <w:r w:rsidRPr="00C52C61">
              <w:t>2 150 000,00</w:t>
            </w:r>
          </w:p>
        </w:tc>
      </w:tr>
      <w:tr w:rsidR="00C52C61" w:rsidRPr="00C52C61" w14:paraId="779F1918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1851A70" w14:textId="77777777" w:rsidR="00C52C61" w:rsidRPr="00C52C61" w:rsidRDefault="00C52C61" w:rsidP="00C52C61">
            <w:pPr>
              <w:jc w:val="both"/>
            </w:pPr>
            <w:r w:rsidRPr="00C52C61">
              <w:t>2034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A544203" w14:textId="77777777" w:rsidR="00C52C61" w:rsidRPr="00C52C61" w:rsidRDefault="00C52C61" w:rsidP="00C52C61">
            <w:pPr>
              <w:jc w:val="both"/>
            </w:pPr>
            <w:r w:rsidRPr="00C52C61">
              <w:t>2 550 000,00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D75225E" w14:textId="77777777" w:rsidR="00C52C61" w:rsidRPr="00C52C61" w:rsidRDefault="00C52C61" w:rsidP="00C52C61">
            <w:pPr>
              <w:jc w:val="both"/>
            </w:pPr>
            <w:r w:rsidRPr="00C52C61">
              <w:t>-700 000,00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1B4293F" w14:textId="77777777" w:rsidR="00C52C61" w:rsidRPr="00C52C61" w:rsidRDefault="00C52C61" w:rsidP="00C52C61">
            <w:pPr>
              <w:jc w:val="both"/>
            </w:pPr>
            <w:r w:rsidRPr="00C52C61">
              <w:t>1 850 000,00</w:t>
            </w:r>
          </w:p>
        </w:tc>
      </w:tr>
      <w:tr w:rsidR="00C52C61" w:rsidRPr="00C52C61" w14:paraId="3C670CA6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D92AB4D" w14:textId="77777777" w:rsidR="00C52C61" w:rsidRPr="00C52C61" w:rsidRDefault="00C52C61" w:rsidP="00C52C61">
            <w:pPr>
              <w:jc w:val="both"/>
            </w:pPr>
            <w:r w:rsidRPr="00C52C61">
              <w:t>2035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EC28402" w14:textId="77777777" w:rsidR="00C52C61" w:rsidRPr="00C52C61" w:rsidRDefault="00C52C61" w:rsidP="00C52C61">
            <w:pPr>
              <w:jc w:val="both"/>
            </w:pPr>
            <w:r w:rsidRPr="00C52C61">
              <w:t>2 900 000,00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74F352A" w14:textId="77777777" w:rsidR="00C52C61" w:rsidRPr="00C52C61" w:rsidRDefault="00C52C61" w:rsidP="00C52C61">
            <w:pPr>
              <w:jc w:val="both"/>
            </w:pPr>
            <w:r w:rsidRPr="00C52C61">
              <w:t>-400 000,00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4B77095" w14:textId="77777777" w:rsidR="00C52C61" w:rsidRPr="00C52C61" w:rsidRDefault="00C52C61" w:rsidP="00C52C61">
            <w:pPr>
              <w:jc w:val="both"/>
            </w:pPr>
            <w:r w:rsidRPr="00C52C61">
              <w:t>2 500 000,00</w:t>
            </w:r>
          </w:p>
        </w:tc>
      </w:tr>
    </w:tbl>
    <w:p w14:paraId="65EC46F5" w14:textId="77777777" w:rsidR="00C52C61" w:rsidRDefault="00C52C61" w:rsidP="00C52C61">
      <w:pPr>
        <w:jc w:val="both"/>
      </w:pPr>
    </w:p>
    <w:p w14:paraId="15A4E009" w14:textId="5F912216" w:rsidR="00C52C61" w:rsidRDefault="00C52C61" w:rsidP="00C52C61">
      <w:pPr>
        <w:jc w:val="both"/>
      </w:pPr>
      <w:r>
        <w:t xml:space="preserve">W związku z trudną do przewidzenia stawką </w:t>
      </w:r>
      <w:proofErr w:type="spellStart"/>
      <w:r>
        <w:t>WIBor</w:t>
      </w:r>
      <w:proofErr w:type="spellEnd"/>
      <w:r>
        <w:t xml:space="preserve"> na dzień zmiany prognozy nie zmienia się wartości naliczonych odsetek od kredytów. </w:t>
      </w:r>
    </w:p>
    <w:bookmarkEnd w:id="0"/>
    <w:p w14:paraId="26AA3FB8" w14:textId="77777777" w:rsidR="00C52C61" w:rsidRPr="00CC1522" w:rsidRDefault="00C52C61" w:rsidP="00C52C61">
      <w:pPr>
        <w:jc w:val="both"/>
      </w:pPr>
    </w:p>
    <w:p w14:paraId="11BDBD52" w14:textId="77777777" w:rsidR="00D6165E" w:rsidRPr="00CC1522" w:rsidRDefault="00D6165E" w:rsidP="00D6165E">
      <w:r w:rsidRPr="00CC1522"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30F2573E" w14:textId="5E6506FB" w:rsidR="00C52C61" w:rsidRDefault="00D6165E">
      <w:r w:rsidRPr="00CC1522">
        <w:t>Pełen zakres zmian obrazuje załącznik nr 1 do niniejszej uchwały.</w:t>
      </w:r>
    </w:p>
    <w:sectPr w:rsidR="00C52C61" w:rsidSect="00D6165E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54FD440E"/>
    <w:multiLevelType w:val="hybridMultilevel"/>
    <w:tmpl w:val="D1F65B0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6121123">
    <w:abstractNumId w:val="4"/>
  </w:num>
  <w:num w:numId="2" w16cid:durableId="1892958820">
    <w:abstractNumId w:val="0"/>
  </w:num>
  <w:num w:numId="3" w16cid:durableId="673073793">
    <w:abstractNumId w:val="1"/>
  </w:num>
  <w:num w:numId="4" w16cid:durableId="1869414923">
    <w:abstractNumId w:val="2"/>
  </w:num>
  <w:num w:numId="5" w16cid:durableId="342319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5E"/>
    <w:rsid w:val="00087055"/>
    <w:rsid w:val="000B16B9"/>
    <w:rsid w:val="003914C7"/>
    <w:rsid w:val="006463F1"/>
    <w:rsid w:val="00797FBE"/>
    <w:rsid w:val="007C74EF"/>
    <w:rsid w:val="00891B2D"/>
    <w:rsid w:val="00C52C61"/>
    <w:rsid w:val="00D105F6"/>
    <w:rsid w:val="00D6165E"/>
    <w:rsid w:val="00E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E07C"/>
  <w15:chartTrackingRefBased/>
  <w15:docId w15:val="{3361713A-38A9-49EA-94DC-DBD85838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65E"/>
  </w:style>
  <w:style w:type="paragraph" w:styleId="Nagwek1">
    <w:name w:val="heading 1"/>
    <w:basedOn w:val="Normalny"/>
    <w:next w:val="Normalny"/>
    <w:link w:val="Nagwek1Znak"/>
    <w:uiPriority w:val="9"/>
    <w:qFormat/>
    <w:rsid w:val="00D61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1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16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16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1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16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6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6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6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6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6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6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1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1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1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16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16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16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6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65E"/>
    <w:rPr>
      <w:b/>
      <w:bCs/>
      <w:smallCaps/>
      <w:color w:val="2F5496" w:themeColor="accent1" w:themeShade="BF"/>
      <w:spacing w:val="5"/>
    </w:rPr>
  </w:style>
  <w:style w:type="table" w:styleId="Tabela-Prosty1">
    <w:name w:val="Table Simple 1"/>
    <w:basedOn w:val="Standardowy"/>
    <w:uiPriority w:val="99"/>
    <w:semiHidden/>
    <w:unhideWhenUsed/>
    <w:rsid w:val="00D616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Obsadna</dc:creator>
  <cp:keywords/>
  <dc:description/>
  <cp:lastModifiedBy>Wioletta Obsadna</cp:lastModifiedBy>
  <cp:revision>3</cp:revision>
  <dcterms:created xsi:type="dcterms:W3CDTF">2025-03-27T22:34:00Z</dcterms:created>
  <dcterms:modified xsi:type="dcterms:W3CDTF">2025-03-27T22:38:00Z</dcterms:modified>
</cp:coreProperties>
</file>